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96" w:rsidRDefault="00602696">
      <w:pPr>
        <w:rPr>
          <w:b/>
          <w:sz w:val="24"/>
        </w:rPr>
      </w:pPr>
      <w:r>
        <w:tab/>
      </w:r>
      <w:r w:rsidRPr="001070FE">
        <w:rPr>
          <w:b/>
          <w:sz w:val="24"/>
        </w:rPr>
        <w:t>PROPOSITION POUR</w:t>
      </w:r>
      <w:r w:rsidR="00CE017E" w:rsidRPr="001070FE">
        <w:rPr>
          <w:b/>
          <w:sz w:val="24"/>
        </w:rPr>
        <w:t xml:space="preserve"> </w:t>
      </w:r>
      <w:r w:rsidRPr="001070FE">
        <w:rPr>
          <w:b/>
          <w:sz w:val="24"/>
        </w:rPr>
        <w:t>LE CHOIX D’UNE METHODE DE PRISE DE DECISION</w:t>
      </w:r>
    </w:p>
    <w:p w:rsidR="00185F5E" w:rsidRPr="00185F5E" w:rsidRDefault="00185F5E">
      <w:pPr>
        <w:rPr>
          <w:b/>
          <w:sz w:val="24"/>
        </w:rPr>
      </w:pPr>
    </w:p>
    <w:p w:rsidR="00602696" w:rsidRPr="00892330" w:rsidRDefault="00602696">
      <w:pPr>
        <w:rPr>
          <w:b/>
          <w:sz w:val="24"/>
          <w:szCs w:val="24"/>
        </w:rPr>
      </w:pPr>
      <w:r w:rsidRPr="00892330">
        <w:rPr>
          <w:b/>
          <w:sz w:val="24"/>
          <w:szCs w:val="24"/>
        </w:rPr>
        <w:t xml:space="preserve">Les outils </w:t>
      </w:r>
      <w:r w:rsidR="004B3AF4" w:rsidRPr="00892330">
        <w:rPr>
          <w:b/>
          <w:sz w:val="24"/>
          <w:szCs w:val="24"/>
        </w:rPr>
        <w:t xml:space="preserve">collaboratifs </w:t>
      </w:r>
      <w:r w:rsidRPr="00892330">
        <w:rPr>
          <w:b/>
          <w:sz w:val="24"/>
          <w:szCs w:val="24"/>
        </w:rPr>
        <w:t xml:space="preserve">d’aide à la prise de décisions : </w:t>
      </w:r>
    </w:p>
    <w:p w:rsidR="0089220F" w:rsidRDefault="00602696" w:rsidP="0089220F">
      <w:r>
        <w:t>Ce sont des méthodes de débat qui permettent d’élaborer les bonnes propositions, qui instaurent un processus d’écoute mutuelle</w:t>
      </w:r>
      <w:r w:rsidR="001070FE">
        <w:t>,</w:t>
      </w:r>
      <w:r>
        <w:t xml:space="preserve"> préalable à la prise de décision. </w:t>
      </w:r>
      <w:r w:rsidR="0089220F">
        <w:t xml:space="preserve"> Elles favorisent  des échanges constructif, </w:t>
      </w:r>
      <w:r w:rsidR="0089220F">
        <w:t>la créativité d'un groupe</w:t>
      </w:r>
      <w:r w:rsidR="0089220F">
        <w:t xml:space="preserve"> et accompagnent </w:t>
      </w:r>
      <w:r w:rsidR="0089220F">
        <w:t xml:space="preserve">la résolution de problème ou </w:t>
      </w:r>
      <w:r w:rsidR="0089220F">
        <w:t xml:space="preserve">de </w:t>
      </w:r>
      <w:r w:rsidR="0089220F">
        <w:t>prise de décision</w:t>
      </w:r>
      <w:r w:rsidR="0089220F">
        <w:t>.</w:t>
      </w:r>
    </w:p>
    <w:p w:rsidR="00602696" w:rsidRDefault="00602696">
      <w:r>
        <w:t>Pour être efficaces ces méthodes doivent être connues et « assimilées » par l’ensemble des participants, d’où l’</w:t>
      </w:r>
      <w:r w:rsidR="001070FE">
        <w:t>intérêt</w:t>
      </w:r>
      <w:r>
        <w:t xml:space="preserve"> de </w:t>
      </w:r>
      <w:r w:rsidR="00892330">
        <w:t>ne pas en changer tout le temps</w:t>
      </w:r>
      <w:r>
        <w:t>.</w:t>
      </w:r>
    </w:p>
    <w:p w:rsidR="00602696" w:rsidRDefault="00602696" w:rsidP="00185F5E">
      <w:pPr>
        <w:pStyle w:val="Paragraphedeliste"/>
        <w:numPr>
          <w:ilvl w:val="0"/>
          <w:numId w:val="2"/>
        </w:numPr>
      </w:pPr>
      <w:r w:rsidRPr="001070FE">
        <w:rPr>
          <w:b/>
          <w:color w:val="9933FF"/>
        </w:rPr>
        <w:t>Méthode des six chapeaux</w:t>
      </w:r>
      <w:r w:rsidR="009E1C71" w:rsidRPr="001070FE">
        <w:rPr>
          <w:b/>
          <w:color w:val="9933FF"/>
        </w:rPr>
        <w:t> </w:t>
      </w:r>
      <w:r w:rsidR="009E1C71">
        <w:t>:</w:t>
      </w:r>
      <w:r w:rsidR="00892330" w:rsidRPr="00892330">
        <w:t xml:space="preserve"> </w:t>
      </w:r>
      <w:r w:rsidR="00892330">
        <w:t>Outil d'animation permettant aux participants de changer de "mode de</w:t>
      </w:r>
      <w:r w:rsidR="00892330">
        <w:t xml:space="preserve"> </w:t>
      </w:r>
      <w:r w:rsidR="00892330">
        <w:t>pensée" : changer de chapeau, c'est changer de pensée.</w:t>
      </w:r>
      <w:r w:rsidR="0089220F">
        <w:t xml:space="preserve">  Chaque couleur correspond à un mode de pensée donnée  </w:t>
      </w:r>
      <w:r w:rsidR="00185F5E">
        <w:t>-</w:t>
      </w:r>
      <w:r w:rsidR="00185F5E" w:rsidRPr="00185F5E">
        <w:t xml:space="preserve"> </w:t>
      </w:r>
      <w:hyperlink r:id="rId8" w:history="1">
        <w:r w:rsidR="00185F5E" w:rsidRPr="00185F5E">
          <w:rPr>
            <w:rStyle w:val="Lienhypertexte"/>
          </w:rPr>
          <w:t>Fiche présentation</w:t>
        </w:r>
      </w:hyperlink>
    </w:p>
    <w:p w:rsidR="00602696" w:rsidRDefault="00602696" w:rsidP="00602696">
      <w:pPr>
        <w:pStyle w:val="Paragraphedeliste"/>
        <w:ind w:left="1074"/>
      </w:pPr>
    </w:p>
    <w:p w:rsidR="001070FE" w:rsidRDefault="00602696" w:rsidP="001070FE">
      <w:pPr>
        <w:pStyle w:val="Paragraphedeliste"/>
        <w:numPr>
          <w:ilvl w:val="0"/>
          <w:numId w:val="2"/>
        </w:numPr>
      </w:pPr>
      <w:r w:rsidRPr="001070FE">
        <w:rPr>
          <w:b/>
          <w:color w:val="9933FF"/>
        </w:rPr>
        <w:t xml:space="preserve"> </w:t>
      </w:r>
      <w:proofErr w:type="spellStart"/>
      <w:r w:rsidRPr="001070FE">
        <w:rPr>
          <w:b/>
          <w:color w:val="9933FF"/>
        </w:rPr>
        <w:t>Fishbowl</w:t>
      </w:r>
      <w:proofErr w:type="spellEnd"/>
      <w:r w:rsidR="00E96D44" w:rsidRPr="001070FE">
        <w:rPr>
          <w:color w:val="9933FF"/>
        </w:rPr>
        <w:t> </w:t>
      </w:r>
      <w:r w:rsidR="00E96D44">
        <w:t xml:space="preserve">: </w:t>
      </w:r>
      <w:r w:rsidR="00E96D44" w:rsidRPr="00E96D44">
        <w:t>Créer une conversation avec un grand groupe autour d’une question ou d’un sujet précis. Réfléchir sur une question ou un enjeu afin de l’approfondir ou de l’explorer, en misant sur l’échange par le biais d’une discussion ouverte et non dirigée.</w:t>
      </w:r>
      <w:r w:rsidR="00185F5E">
        <w:t xml:space="preserve"> </w:t>
      </w:r>
      <w:hyperlink r:id="rId9" w:history="1">
        <w:r w:rsidR="00185F5E" w:rsidRPr="00185F5E">
          <w:rPr>
            <w:rStyle w:val="Lienhypertexte"/>
          </w:rPr>
          <w:t>Fiche présentation</w:t>
        </w:r>
      </w:hyperlink>
    </w:p>
    <w:p w:rsidR="00602696" w:rsidRPr="00892330" w:rsidRDefault="00602696">
      <w:pPr>
        <w:rPr>
          <w:b/>
          <w:sz w:val="24"/>
          <w:szCs w:val="24"/>
        </w:rPr>
      </w:pPr>
      <w:r w:rsidRPr="00892330">
        <w:rPr>
          <w:b/>
          <w:sz w:val="24"/>
          <w:szCs w:val="24"/>
        </w:rPr>
        <w:t xml:space="preserve">Les </w:t>
      </w:r>
      <w:r w:rsidR="00892330" w:rsidRPr="00892330">
        <w:rPr>
          <w:b/>
          <w:sz w:val="24"/>
          <w:szCs w:val="24"/>
        </w:rPr>
        <w:t>différentes méthodes de prise de décision</w:t>
      </w:r>
      <w:r w:rsidRPr="00892330">
        <w:rPr>
          <w:b/>
          <w:sz w:val="24"/>
          <w:szCs w:val="24"/>
        </w:rPr>
        <w:t> :</w:t>
      </w:r>
    </w:p>
    <w:p w:rsidR="00892330" w:rsidRPr="001070FE" w:rsidRDefault="00892330" w:rsidP="001070FE">
      <w:pPr>
        <w:spacing w:after="0" w:line="240" w:lineRule="auto"/>
        <w:rPr>
          <w:u w:val="single"/>
        </w:rPr>
      </w:pPr>
      <w:r w:rsidRPr="001070FE">
        <w:rPr>
          <w:u w:val="single"/>
        </w:rPr>
        <w:t>C</w:t>
      </w:r>
      <w:r w:rsidR="009E1C71" w:rsidRPr="001070FE">
        <w:rPr>
          <w:u w:val="single"/>
        </w:rPr>
        <w:t>lassique</w:t>
      </w:r>
      <w:r w:rsidRPr="001070FE">
        <w:rPr>
          <w:u w:val="single"/>
        </w:rPr>
        <w:t> :</w:t>
      </w:r>
    </w:p>
    <w:p w:rsidR="00602696" w:rsidRDefault="00602696" w:rsidP="00602696">
      <w:pPr>
        <w:pStyle w:val="Paragraphedeliste"/>
        <w:numPr>
          <w:ilvl w:val="0"/>
          <w:numId w:val="1"/>
        </w:numPr>
      </w:pPr>
      <w:r w:rsidRPr="001070FE">
        <w:rPr>
          <w:b/>
          <w:color w:val="0066FF"/>
        </w:rPr>
        <w:t>Vote à la majorité</w:t>
      </w:r>
      <w:r w:rsidR="009E1C71" w:rsidRPr="001070FE">
        <w:rPr>
          <w:color w:val="0066FF"/>
        </w:rPr>
        <w:t> </w:t>
      </w:r>
      <w:r w:rsidR="009E1C71">
        <w:t>:</w:t>
      </w:r>
      <w:r w:rsidR="001070FE">
        <w:t xml:space="preserve"> définir ce qu’on entend par majorité : 50</w:t>
      </w:r>
      <w:proofErr w:type="gramStart"/>
      <w:r w:rsidR="001070FE">
        <w:t>% ,</w:t>
      </w:r>
      <w:proofErr w:type="gramEnd"/>
      <w:r w:rsidR="001070FE">
        <w:t xml:space="preserve">  75% , pas plus de x% de contre ou d’abstention ….</w:t>
      </w:r>
    </w:p>
    <w:p w:rsidR="00602696" w:rsidRDefault="00602696" w:rsidP="00602696">
      <w:pPr>
        <w:pStyle w:val="Paragraphedeliste"/>
        <w:numPr>
          <w:ilvl w:val="1"/>
          <w:numId w:val="1"/>
        </w:numPr>
      </w:pPr>
      <w:r>
        <w:t>A main levée</w:t>
      </w:r>
    </w:p>
    <w:p w:rsidR="00602696" w:rsidRDefault="00602696" w:rsidP="00602696">
      <w:pPr>
        <w:pStyle w:val="Paragraphedeliste"/>
        <w:numPr>
          <w:ilvl w:val="1"/>
          <w:numId w:val="1"/>
        </w:numPr>
      </w:pPr>
      <w:r>
        <w:t>A bulletin secret</w:t>
      </w:r>
    </w:p>
    <w:p w:rsidR="00602696" w:rsidRPr="001070FE" w:rsidRDefault="00892330" w:rsidP="001070FE">
      <w:pPr>
        <w:spacing w:after="0" w:line="240" w:lineRule="auto"/>
        <w:rPr>
          <w:u w:val="single"/>
        </w:rPr>
      </w:pPr>
      <w:r w:rsidRPr="001070FE">
        <w:rPr>
          <w:u w:val="single"/>
        </w:rPr>
        <w:t>Nécessitant l’animation par un facilitateur :</w:t>
      </w:r>
    </w:p>
    <w:p w:rsidR="00892330" w:rsidRDefault="00602696" w:rsidP="00892330">
      <w:pPr>
        <w:pStyle w:val="Paragraphedeliste"/>
        <w:numPr>
          <w:ilvl w:val="0"/>
          <w:numId w:val="1"/>
        </w:numPr>
      </w:pPr>
      <w:r w:rsidRPr="001070FE">
        <w:rPr>
          <w:b/>
          <w:color w:val="0066FF"/>
        </w:rPr>
        <w:t>Cartons de couleurs</w:t>
      </w:r>
      <w:r w:rsidR="00892330" w:rsidRPr="001070FE">
        <w:rPr>
          <w:b/>
          <w:color w:val="0066FF"/>
        </w:rPr>
        <w:t> </w:t>
      </w:r>
      <w:proofErr w:type="gramStart"/>
      <w:r w:rsidR="00892330">
        <w:t>:</w:t>
      </w:r>
      <w:r w:rsidR="00892330" w:rsidRPr="00892330">
        <w:t xml:space="preserve"> </w:t>
      </w:r>
      <w:r w:rsidR="00892330">
        <w:t xml:space="preserve"> 7</w:t>
      </w:r>
      <w:proofErr w:type="gramEnd"/>
      <w:r w:rsidR="00892330">
        <w:t xml:space="preserve"> cartons de couleurs différentes </w:t>
      </w:r>
    </w:p>
    <w:p w:rsidR="00602696" w:rsidRDefault="00892330" w:rsidP="00892330">
      <w:pPr>
        <w:pStyle w:val="Paragraphedeliste"/>
        <w:numPr>
          <w:ilvl w:val="1"/>
          <w:numId w:val="1"/>
        </w:numPr>
      </w:pPr>
      <w:r>
        <w:t>5 couleurs (vert, rouge, bleu, jaune et violet) sont directement liées à la construction des</w:t>
      </w:r>
      <w:r>
        <w:t xml:space="preserve"> </w:t>
      </w:r>
      <w:r>
        <w:t>décisions et 2 autres (blanc et orange) à l'ambiance du débat.</w:t>
      </w:r>
    </w:p>
    <w:p w:rsidR="00892330" w:rsidRDefault="00892330" w:rsidP="00892330">
      <w:pPr>
        <w:pStyle w:val="Paragraphedeliste"/>
        <w:numPr>
          <w:ilvl w:val="1"/>
          <w:numId w:val="1"/>
        </w:numPr>
      </w:pPr>
      <w:r>
        <w:t>Chaque couleur exprime un positionnement par rapport à la décision.</w:t>
      </w:r>
      <w:r w:rsidR="0089220F">
        <w:t xml:space="preserve"> Tant que tous les cartons ne sont pas </w:t>
      </w:r>
      <w:proofErr w:type="gramStart"/>
      <w:r w:rsidR="0089220F">
        <w:t>vert</w:t>
      </w:r>
      <w:proofErr w:type="gramEnd"/>
      <w:r w:rsidR="0089220F">
        <w:t xml:space="preserve"> ou bleu la décision n’est pas validée.</w:t>
      </w:r>
      <w:r w:rsidR="00F67ACD">
        <w:t xml:space="preserve"> </w:t>
      </w:r>
      <w:hyperlink r:id="rId10" w:history="1">
        <w:r w:rsidR="00F67ACD" w:rsidRPr="00F67ACD">
          <w:rPr>
            <w:rStyle w:val="Lienhypertexte"/>
          </w:rPr>
          <w:t>Fiche présentation</w:t>
        </w:r>
      </w:hyperlink>
      <w:r w:rsidR="00F67ACD">
        <w:t xml:space="preserve"> </w:t>
      </w:r>
    </w:p>
    <w:p w:rsidR="00602696" w:rsidRDefault="00602696" w:rsidP="00602696">
      <w:pPr>
        <w:pStyle w:val="Paragraphedeliste"/>
        <w:ind w:left="1074"/>
      </w:pPr>
    </w:p>
    <w:p w:rsidR="00E96D44" w:rsidRDefault="00602696" w:rsidP="00E96D44">
      <w:pPr>
        <w:pStyle w:val="Paragraphedeliste"/>
        <w:numPr>
          <w:ilvl w:val="0"/>
          <w:numId w:val="1"/>
        </w:numPr>
      </w:pPr>
      <w:r w:rsidRPr="001070FE">
        <w:rPr>
          <w:b/>
          <w:color w:val="0066FF"/>
        </w:rPr>
        <w:t>Gestion par consentement</w:t>
      </w:r>
      <w:r w:rsidR="001070FE" w:rsidRPr="001070FE">
        <w:rPr>
          <w:color w:val="0066FF"/>
        </w:rPr>
        <w:t> </w:t>
      </w:r>
      <w:r w:rsidR="001070FE">
        <w:t xml:space="preserve">: </w:t>
      </w:r>
      <w:r w:rsidR="001070FE" w:rsidRPr="001070FE">
        <w:t>le consensus exige que tous les participants à une décision soient unanimes, le consentement se contente du fait qu’aucun membre n’y oppose d’objection raisonnable. Une objection est jugée raisonnable si elle bonifie la proposition à l’étude ou l’élimine complètement. L’objection n’est plus synonyme d’obstruction mais d’identification de limites, de tolérances qui deviennent les conditions de réalisation de la proposition. Le processus permet de faciliter l’identification de ces conditions et la</w:t>
      </w:r>
      <w:r w:rsidR="001070FE">
        <w:t xml:space="preserve"> mise en pratique des décisions.</w:t>
      </w:r>
      <w:r w:rsidR="00F67ACD">
        <w:t xml:space="preserve"> </w:t>
      </w:r>
      <w:hyperlink r:id="rId11" w:history="1">
        <w:r w:rsidR="00F67ACD" w:rsidRPr="00F67ACD">
          <w:rPr>
            <w:rStyle w:val="Lienhypertexte"/>
          </w:rPr>
          <w:t>GPC aide</w:t>
        </w:r>
      </w:hyperlink>
      <w:r w:rsidR="00F67ACD">
        <w:t xml:space="preserve"> , </w:t>
      </w:r>
      <w:hyperlink r:id="rId12" w:history="1">
        <w:r w:rsidR="00F67ACD" w:rsidRPr="00F67ACD">
          <w:rPr>
            <w:rStyle w:val="Lienhypertexte"/>
          </w:rPr>
          <w:t xml:space="preserve">GPC processus </w:t>
        </w:r>
      </w:hyperlink>
      <w:r w:rsidR="00F67ACD">
        <w:t xml:space="preserve"> </w:t>
      </w:r>
    </w:p>
    <w:p w:rsidR="00602696" w:rsidRDefault="001070FE" w:rsidP="00185F5E">
      <w:r>
        <w:rPr>
          <w:noProof/>
          <w:lang w:eastAsia="fr-FR"/>
        </w:rPr>
        <w:drawing>
          <wp:inline distT="0" distB="0" distL="0" distR="0">
            <wp:extent cx="342436" cy="192156"/>
            <wp:effectExtent l="0" t="0" r="635" b="0"/>
            <wp:docPr id="1" name="Image 1" descr="C:\Users\Utilisateur\AppData\Local\Microsoft\Windows\INetCache\IE\0SBZQ957\eye-1965699_960_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ilisateur\AppData\Local\Microsoft\Windows\INetCache\IE\0SBZQ957\eye-1965699_960_72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459" cy="192169"/>
                    </a:xfrm>
                    <a:prstGeom prst="rect">
                      <a:avLst/>
                    </a:prstGeom>
                    <a:noFill/>
                    <a:ln>
                      <a:noFill/>
                    </a:ln>
                  </pic:spPr>
                </pic:pic>
              </a:graphicData>
            </a:graphic>
          </wp:inline>
        </w:drawing>
      </w:r>
      <w:r>
        <w:t xml:space="preserve"> </w:t>
      </w:r>
      <w:r w:rsidR="00892330">
        <w:t>Comment on applique la décision fait partie de la décision =&gt;</w:t>
      </w:r>
      <w:r w:rsidR="00A87F9C">
        <w:t xml:space="preserve"> </w:t>
      </w:r>
      <w:r w:rsidR="00892330">
        <w:t>La décision est prise quand on a aussi définit le processus qui va permettre de la mettre en œuvre</w:t>
      </w:r>
      <w:r w:rsidR="00185F5E">
        <w:t>.</w:t>
      </w:r>
      <w:bookmarkStart w:id="0" w:name="_GoBack"/>
      <w:bookmarkEnd w:id="0"/>
    </w:p>
    <w:sectPr w:rsidR="00602696" w:rsidSect="001070FE">
      <w:headerReference w:type="default" r:id="rId14"/>
      <w:pgSz w:w="11906" w:h="16838"/>
      <w:pgMar w:top="709"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3C2" w:rsidRDefault="00C333C2" w:rsidP="001070FE">
      <w:pPr>
        <w:spacing w:after="0" w:line="240" w:lineRule="auto"/>
      </w:pPr>
      <w:r>
        <w:separator/>
      </w:r>
    </w:p>
  </w:endnote>
  <w:endnote w:type="continuationSeparator" w:id="0">
    <w:p w:rsidR="00C333C2" w:rsidRDefault="00C333C2" w:rsidP="00107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3C2" w:rsidRDefault="00C333C2" w:rsidP="001070FE">
      <w:pPr>
        <w:spacing w:after="0" w:line="240" w:lineRule="auto"/>
      </w:pPr>
      <w:r>
        <w:separator/>
      </w:r>
    </w:p>
  </w:footnote>
  <w:footnote w:type="continuationSeparator" w:id="0">
    <w:p w:rsidR="00C333C2" w:rsidRDefault="00C333C2" w:rsidP="001070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0FE" w:rsidRPr="001070FE" w:rsidRDefault="001070FE">
    <w:pPr>
      <w:pStyle w:val="En-tte"/>
      <w:rPr>
        <w:sz w:val="20"/>
      </w:rPr>
    </w:pPr>
    <w:r>
      <w:tab/>
    </w:r>
    <w:r>
      <w:tab/>
    </w:r>
    <w:r w:rsidRPr="001070FE">
      <w:rPr>
        <w:sz w:val="20"/>
      </w:rPr>
      <w:t>15/12/2018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E67FE"/>
    <w:multiLevelType w:val="hybridMultilevel"/>
    <w:tmpl w:val="2EBEA052"/>
    <w:lvl w:ilvl="0" w:tplc="79AC4E0A">
      <w:numFmt w:val="bullet"/>
      <w:lvlText w:val="-"/>
      <w:lvlJc w:val="left"/>
      <w:pPr>
        <w:ind w:left="1074" w:hanging="360"/>
      </w:pPr>
      <w:rPr>
        <w:rFonts w:ascii="Calibri" w:eastAsiaTheme="minorHAnsi" w:hAnsi="Calibri" w:cs="Calibri" w:hint="default"/>
      </w:rPr>
    </w:lvl>
    <w:lvl w:ilvl="1" w:tplc="040C0003">
      <w:start w:val="1"/>
      <w:numFmt w:val="bullet"/>
      <w:lvlText w:val="o"/>
      <w:lvlJc w:val="left"/>
      <w:pPr>
        <w:ind w:left="1794" w:hanging="360"/>
      </w:pPr>
      <w:rPr>
        <w:rFonts w:ascii="Courier New" w:hAnsi="Courier New" w:cs="Courier New" w:hint="default"/>
      </w:rPr>
    </w:lvl>
    <w:lvl w:ilvl="2" w:tplc="040C0005" w:tentative="1">
      <w:start w:val="1"/>
      <w:numFmt w:val="bullet"/>
      <w:lvlText w:val=""/>
      <w:lvlJc w:val="left"/>
      <w:pPr>
        <w:ind w:left="2514" w:hanging="360"/>
      </w:pPr>
      <w:rPr>
        <w:rFonts w:ascii="Wingdings" w:hAnsi="Wingdings" w:hint="default"/>
      </w:rPr>
    </w:lvl>
    <w:lvl w:ilvl="3" w:tplc="040C0001" w:tentative="1">
      <w:start w:val="1"/>
      <w:numFmt w:val="bullet"/>
      <w:lvlText w:val=""/>
      <w:lvlJc w:val="left"/>
      <w:pPr>
        <w:ind w:left="3234" w:hanging="360"/>
      </w:pPr>
      <w:rPr>
        <w:rFonts w:ascii="Symbol" w:hAnsi="Symbol" w:hint="default"/>
      </w:rPr>
    </w:lvl>
    <w:lvl w:ilvl="4" w:tplc="040C0003" w:tentative="1">
      <w:start w:val="1"/>
      <w:numFmt w:val="bullet"/>
      <w:lvlText w:val="o"/>
      <w:lvlJc w:val="left"/>
      <w:pPr>
        <w:ind w:left="3954" w:hanging="360"/>
      </w:pPr>
      <w:rPr>
        <w:rFonts w:ascii="Courier New" w:hAnsi="Courier New" w:cs="Courier New" w:hint="default"/>
      </w:rPr>
    </w:lvl>
    <w:lvl w:ilvl="5" w:tplc="040C0005" w:tentative="1">
      <w:start w:val="1"/>
      <w:numFmt w:val="bullet"/>
      <w:lvlText w:val=""/>
      <w:lvlJc w:val="left"/>
      <w:pPr>
        <w:ind w:left="4674" w:hanging="360"/>
      </w:pPr>
      <w:rPr>
        <w:rFonts w:ascii="Wingdings" w:hAnsi="Wingdings" w:hint="default"/>
      </w:rPr>
    </w:lvl>
    <w:lvl w:ilvl="6" w:tplc="040C0001" w:tentative="1">
      <w:start w:val="1"/>
      <w:numFmt w:val="bullet"/>
      <w:lvlText w:val=""/>
      <w:lvlJc w:val="left"/>
      <w:pPr>
        <w:ind w:left="5394" w:hanging="360"/>
      </w:pPr>
      <w:rPr>
        <w:rFonts w:ascii="Symbol" w:hAnsi="Symbol" w:hint="default"/>
      </w:rPr>
    </w:lvl>
    <w:lvl w:ilvl="7" w:tplc="040C0003" w:tentative="1">
      <w:start w:val="1"/>
      <w:numFmt w:val="bullet"/>
      <w:lvlText w:val="o"/>
      <w:lvlJc w:val="left"/>
      <w:pPr>
        <w:ind w:left="6114" w:hanging="360"/>
      </w:pPr>
      <w:rPr>
        <w:rFonts w:ascii="Courier New" w:hAnsi="Courier New" w:cs="Courier New" w:hint="default"/>
      </w:rPr>
    </w:lvl>
    <w:lvl w:ilvl="8" w:tplc="040C0005" w:tentative="1">
      <w:start w:val="1"/>
      <w:numFmt w:val="bullet"/>
      <w:lvlText w:val=""/>
      <w:lvlJc w:val="left"/>
      <w:pPr>
        <w:ind w:left="6834" w:hanging="360"/>
      </w:pPr>
      <w:rPr>
        <w:rFonts w:ascii="Wingdings" w:hAnsi="Wingdings" w:hint="default"/>
      </w:rPr>
    </w:lvl>
  </w:abstractNum>
  <w:abstractNum w:abstractNumId="1">
    <w:nsid w:val="032E34D5"/>
    <w:multiLevelType w:val="hybridMultilevel"/>
    <w:tmpl w:val="9C002544"/>
    <w:lvl w:ilvl="0" w:tplc="2466B336">
      <w:numFmt w:val="bullet"/>
      <w:lvlText w:val="-"/>
      <w:lvlJc w:val="left"/>
      <w:pPr>
        <w:ind w:left="1074" w:hanging="360"/>
      </w:pPr>
      <w:rPr>
        <w:rFonts w:ascii="Calibri" w:eastAsiaTheme="minorHAnsi" w:hAnsi="Calibri" w:cs="Calibri" w:hint="default"/>
      </w:rPr>
    </w:lvl>
    <w:lvl w:ilvl="1" w:tplc="040C0003" w:tentative="1">
      <w:start w:val="1"/>
      <w:numFmt w:val="bullet"/>
      <w:lvlText w:val="o"/>
      <w:lvlJc w:val="left"/>
      <w:pPr>
        <w:ind w:left="1794" w:hanging="360"/>
      </w:pPr>
      <w:rPr>
        <w:rFonts w:ascii="Courier New" w:hAnsi="Courier New" w:cs="Courier New" w:hint="default"/>
      </w:rPr>
    </w:lvl>
    <w:lvl w:ilvl="2" w:tplc="040C0005" w:tentative="1">
      <w:start w:val="1"/>
      <w:numFmt w:val="bullet"/>
      <w:lvlText w:val=""/>
      <w:lvlJc w:val="left"/>
      <w:pPr>
        <w:ind w:left="2514" w:hanging="360"/>
      </w:pPr>
      <w:rPr>
        <w:rFonts w:ascii="Wingdings" w:hAnsi="Wingdings" w:hint="default"/>
      </w:rPr>
    </w:lvl>
    <w:lvl w:ilvl="3" w:tplc="040C0001" w:tentative="1">
      <w:start w:val="1"/>
      <w:numFmt w:val="bullet"/>
      <w:lvlText w:val=""/>
      <w:lvlJc w:val="left"/>
      <w:pPr>
        <w:ind w:left="3234" w:hanging="360"/>
      </w:pPr>
      <w:rPr>
        <w:rFonts w:ascii="Symbol" w:hAnsi="Symbol" w:hint="default"/>
      </w:rPr>
    </w:lvl>
    <w:lvl w:ilvl="4" w:tplc="040C0003" w:tentative="1">
      <w:start w:val="1"/>
      <w:numFmt w:val="bullet"/>
      <w:lvlText w:val="o"/>
      <w:lvlJc w:val="left"/>
      <w:pPr>
        <w:ind w:left="3954" w:hanging="360"/>
      </w:pPr>
      <w:rPr>
        <w:rFonts w:ascii="Courier New" w:hAnsi="Courier New" w:cs="Courier New" w:hint="default"/>
      </w:rPr>
    </w:lvl>
    <w:lvl w:ilvl="5" w:tplc="040C0005" w:tentative="1">
      <w:start w:val="1"/>
      <w:numFmt w:val="bullet"/>
      <w:lvlText w:val=""/>
      <w:lvlJc w:val="left"/>
      <w:pPr>
        <w:ind w:left="4674" w:hanging="360"/>
      </w:pPr>
      <w:rPr>
        <w:rFonts w:ascii="Wingdings" w:hAnsi="Wingdings" w:hint="default"/>
      </w:rPr>
    </w:lvl>
    <w:lvl w:ilvl="6" w:tplc="040C0001" w:tentative="1">
      <w:start w:val="1"/>
      <w:numFmt w:val="bullet"/>
      <w:lvlText w:val=""/>
      <w:lvlJc w:val="left"/>
      <w:pPr>
        <w:ind w:left="5394" w:hanging="360"/>
      </w:pPr>
      <w:rPr>
        <w:rFonts w:ascii="Symbol" w:hAnsi="Symbol" w:hint="default"/>
      </w:rPr>
    </w:lvl>
    <w:lvl w:ilvl="7" w:tplc="040C0003" w:tentative="1">
      <w:start w:val="1"/>
      <w:numFmt w:val="bullet"/>
      <w:lvlText w:val="o"/>
      <w:lvlJc w:val="left"/>
      <w:pPr>
        <w:ind w:left="6114" w:hanging="360"/>
      </w:pPr>
      <w:rPr>
        <w:rFonts w:ascii="Courier New" w:hAnsi="Courier New" w:cs="Courier New" w:hint="default"/>
      </w:rPr>
    </w:lvl>
    <w:lvl w:ilvl="8" w:tplc="040C0005" w:tentative="1">
      <w:start w:val="1"/>
      <w:numFmt w:val="bullet"/>
      <w:lvlText w:val=""/>
      <w:lvlJc w:val="left"/>
      <w:pPr>
        <w:ind w:left="683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696"/>
    <w:rsid w:val="001070FE"/>
    <w:rsid w:val="00185F5E"/>
    <w:rsid w:val="004B3AF4"/>
    <w:rsid w:val="00602696"/>
    <w:rsid w:val="0089220F"/>
    <w:rsid w:val="00892330"/>
    <w:rsid w:val="009E1C71"/>
    <w:rsid w:val="00A87F9C"/>
    <w:rsid w:val="00C333C2"/>
    <w:rsid w:val="00CE017E"/>
    <w:rsid w:val="00E96D44"/>
    <w:rsid w:val="00F67ACD"/>
    <w:rsid w:val="00FE25B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2696"/>
    <w:pPr>
      <w:ind w:left="720"/>
      <w:contextualSpacing/>
    </w:pPr>
  </w:style>
  <w:style w:type="paragraph" w:styleId="En-tte">
    <w:name w:val="header"/>
    <w:basedOn w:val="Normal"/>
    <w:link w:val="En-tteCar"/>
    <w:uiPriority w:val="99"/>
    <w:unhideWhenUsed/>
    <w:rsid w:val="001070FE"/>
    <w:pPr>
      <w:tabs>
        <w:tab w:val="center" w:pos="4536"/>
        <w:tab w:val="right" w:pos="9072"/>
      </w:tabs>
      <w:spacing w:after="0" w:line="240" w:lineRule="auto"/>
    </w:pPr>
  </w:style>
  <w:style w:type="character" w:customStyle="1" w:styleId="En-tteCar">
    <w:name w:val="En-tête Car"/>
    <w:basedOn w:val="Policepardfaut"/>
    <w:link w:val="En-tte"/>
    <w:uiPriority w:val="99"/>
    <w:rsid w:val="001070FE"/>
  </w:style>
  <w:style w:type="paragraph" w:styleId="Pieddepage">
    <w:name w:val="footer"/>
    <w:basedOn w:val="Normal"/>
    <w:link w:val="PieddepageCar"/>
    <w:uiPriority w:val="99"/>
    <w:unhideWhenUsed/>
    <w:rsid w:val="001070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070FE"/>
  </w:style>
  <w:style w:type="paragraph" w:styleId="Textedebulles">
    <w:name w:val="Balloon Text"/>
    <w:basedOn w:val="Normal"/>
    <w:link w:val="TextedebullesCar"/>
    <w:uiPriority w:val="99"/>
    <w:semiHidden/>
    <w:unhideWhenUsed/>
    <w:rsid w:val="001070F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070FE"/>
    <w:rPr>
      <w:rFonts w:ascii="Tahoma" w:hAnsi="Tahoma" w:cs="Tahoma"/>
      <w:sz w:val="16"/>
      <w:szCs w:val="16"/>
    </w:rPr>
  </w:style>
  <w:style w:type="character" w:styleId="Lienhypertexte">
    <w:name w:val="Hyperlink"/>
    <w:basedOn w:val="Policepardfaut"/>
    <w:uiPriority w:val="99"/>
    <w:unhideWhenUsed/>
    <w:rsid w:val="00F67AC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2696"/>
    <w:pPr>
      <w:ind w:left="720"/>
      <w:contextualSpacing/>
    </w:pPr>
  </w:style>
  <w:style w:type="paragraph" w:styleId="En-tte">
    <w:name w:val="header"/>
    <w:basedOn w:val="Normal"/>
    <w:link w:val="En-tteCar"/>
    <w:uiPriority w:val="99"/>
    <w:unhideWhenUsed/>
    <w:rsid w:val="001070FE"/>
    <w:pPr>
      <w:tabs>
        <w:tab w:val="center" w:pos="4536"/>
        <w:tab w:val="right" w:pos="9072"/>
      </w:tabs>
      <w:spacing w:after="0" w:line="240" w:lineRule="auto"/>
    </w:pPr>
  </w:style>
  <w:style w:type="character" w:customStyle="1" w:styleId="En-tteCar">
    <w:name w:val="En-tête Car"/>
    <w:basedOn w:val="Policepardfaut"/>
    <w:link w:val="En-tte"/>
    <w:uiPriority w:val="99"/>
    <w:rsid w:val="001070FE"/>
  </w:style>
  <w:style w:type="paragraph" w:styleId="Pieddepage">
    <w:name w:val="footer"/>
    <w:basedOn w:val="Normal"/>
    <w:link w:val="PieddepageCar"/>
    <w:uiPriority w:val="99"/>
    <w:unhideWhenUsed/>
    <w:rsid w:val="001070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070FE"/>
  </w:style>
  <w:style w:type="paragraph" w:styleId="Textedebulles">
    <w:name w:val="Balloon Text"/>
    <w:basedOn w:val="Normal"/>
    <w:link w:val="TextedebullesCar"/>
    <w:uiPriority w:val="99"/>
    <w:semiHidden/>
    <w:unhideWhenUsed/>
    <w:rsid w:val="001070F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070FE"/>
    <w:rPr>
      <w:rFonts w:ascii="Tahoma" w:hAnsi="Tahoma" w:cs="Tahoma"/>
      <w:sz w:val="16"/>
      <w:szCs w:val="16"/>
    </w:rPr>
  </w:style>
  <w:style w:type="character" w:styleId="Lienhypertexte">
    <w:name w:val="Hyperlink"/>
    <w:basedOn w:val="Policepardfaut"/>
    <w:uiPriority w:val="99"/>
    <w:unhideWhenUsed/>
    <w:rsid w:val="00F67A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ki.coop-tic.eu/wikis/BIOBAUGES/wakka.php?wiki=Charte" TargetMode="External"/><Relationship Id="rId13"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niversite-du-nous.org/wp-content/uploads/2013/09/gpc-2017-v0.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niversite-du-nous.org/wp-content/uploads/2013/09/gpc-aide-2017-v0.1.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eni.free.fr/trOps/alter/Cartons_de_couleur-rf.pdf" TargetMode="External"/><Relationship Id="rId4" Type="http://schemas.openxmlformats.org/officeDocument/2006/relationships/settings" Target="settings.xml"/><Relationship Id="rId9" Type="http://schemas.openxmlformats.org/officeDocument/2006/relationships/hyperlink" Target="http://wiki.coop-tic.eu/wikis/BIOBAUGES/wakka.php?wiki=Charte" TargetMode="Externa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445</Words>
  <Characters>2449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1</cp:revision>
  <dcterms:created xsi:type="dcterms:W3CDTF">2018-12-15T09:39:00Z</dcterms:created>
  <dcterms:modified xsi:type="dcterms:W3CDTF">2018-12-15T12:10:00Z</dcterms:modified>
</cp:coreProperties>
</file>